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B9C" w:rsidRPr="00D31234" w:rsidRDefault="009A1B9C" w:rsidP="009A1B9C">
      <w:pPr>
        <w:adjustRightInd w:val="0"/>
        <w:snapToGrid w:val="0"/>
        <w:spacing w:line="360" w:lineRule="auto"/>
        <w:ind w:rightChars="-162" w:right="-340"/>
        <w:jc w:val="center"/>
        <w:rPr>
          <w:rFonts w:ascii="华文中宋" w:eastAsia="华文中宋" w:hAnsi="华文中宋"/>
          <w:b/>
          <w:sz w:val="36"/>
          <w:szCs w:val="36"/>
        </w:rPr>
      </w:pPr>
      <w:r w:rsidRPr="00D31234">
        <w:rPr>
          <w:rFonts w:ascii="华文中宋" w:eastAsia="华文中宋" w:hAnsi="华文中宋"/>
          <w:b/>
          <w:sz w:val="36"/>
          <w:szCs w:val="36"/>
        </w:rPr>
        <w:t>201</w:t>
      </w:r>
      <w:r w:rsidRPr="00D31234">
        <w:rPr>
          <w:rFonts w:ascii="华文中宋" w:eastAsia="华文中宋" w:hAnsi="华文中宋" w:hint="eastAsia"/>
          <w:b/>
          <w:sz w:val="36"/>
          <w:szCs w:val="36"/>
        </w:rPr>
        <w:t>8年度上海技术转移学院</w:t>
      </w:r>
    </w:p>
    <w:p w:rsidR="009A1B9C" w:rsidRDefault="009A1B9C" w:rsidP="009A1B9C">
      <w:pPr>
        <w:pStyle w:val="a5"/>
        <w:spacing w:beforeLines="50" w:before="156" w:line="276" w:lineRule="auto"/>
        <w:ind w:leftChars="6" w:left="26" w:hanging="13"/>
        <w:jc w:val="center"/>
        <w:rPr>
          <w:rFonts w:ascii="仿宋" w:eastAsia="仿宋" w:hAnsi="仿宋"/>
          <w:b/>
          <w:spacing w:val="0"/>
          <w:szCs w:val="28"/>
        </w:rPr>
      </w:pPr>
      <w:r w:rsidRPr="00D31234">
        <w:rPr>
          <w:rFonts w:ascii="华文中宋" w:eastAsia="华文中宋" w:hAnsi="华文中宋" w:hint="eastAsia"/>
          <w:b/>
          <w:sz w:val="36"/>
          <w:szCs w:val="36"/>
        </w:rPr>
        <w:t>国际认证</w:t>
      </w:r>
      <w:r w:rsidRPr="00D31234">
        <w:rPr>
          <w:rFonts w:ascii="华文中宋" w:eastAsia="华文中宋" w:hAnsi="华文中宋"/>
          <w:b/>
          <w:sz w:val="36"/>
          <w:szCs w:val="36"/>
        </w:rPr>
        <w:t>技术许可专家（</w:t>
      </w:r>
      <w:r w:rsidRPr="00D31234">
        <w:rPr>
          <w:rFonts w:ascii="华文中宋" w:eastAsia="华文中宋" w:hAnsi="华文中宋" w:hint="eastAsia"/>
          <w:b/>
          <w:sz w:val="36"/>
          <w:szCs w:val="36"/>
        </w:rPr>
        <w:t>CLP</w:t>
      </w:r>
      <w:r w:rsidRPr="00D31234">
        <w:rPr>
          <w:rFonts w:ascii="华文中宋" w:eastAsia="华文中宋" w:hAnsi="华文中宋"/>
          <w:b/>
          <w:sz w:val="36"/>
          <w:szCs w:val="36"/>
        </w:rPr>
        <w:t>）</w:t>
      </w:r>
      <w:r w:rsidRPr="00D31234">
        <w:rPr>
          <w:rFonts w:ascii="华文中宋" w:eastAsia="华文中宋" w:hAnsi="华文中宋" w:hint="eastAsia"/>
          <w:b/>
          <w:sz w:val="36"/>
          <w:szCs w:val="36"/>
        </w:rPr>
        <w:t>培训</w:t>
      </w:r>
      <w:r w:rsidRPr="001873A1">
        <w:rPr>
          <w:rFonts w:ascii="华文中宋" w:eastAsia="华文中宋" w:hAnsi="华文中宋" w:hint="eastAsia"/>
          <w:b/>
          <w:sz w:val="36"/>
          <w:szCs w:val="36"/>
        </w:rPr>
        <w:t>课程</w:t>
      </w:r>
      <w:r w:rsidRPr="001873A1">
        <w:rPr>
          <w:rFonts w:ascii="华文中宋" w:eastAsia="华文中宋" w:hAnsi="华文中宋"/>
          <w:b/>
          <w:sz w:val="36"/>
          <w:szCs w:val="36"/>
        </w:rPr>
        <w:t>大纲</w:t>
      </w:r>
    </w:p>
    <w:p w:rsidR="009A1B9C" w:rsidRPr="0039794E" w:rsidRDefault="009A1B9C" w:rsidP="009A1B9C">
      <w:pPr>
        <w:pStyle w:val="a5"/>
        <w:spacing w:beforeLines="50" w:before="156" w:line="276" w:lineRule="auto"/>
        <w:jc w:val="left"/>
        <w:rPr>
          <w:rFonts w:ascii="仿宋" w:eastAsia="仿宋" w:hAnsi="仿宋"/>
          <w:spacing w:val="0"/>
          <w:szCs w:val="28"/>
        </w:rPr>
      </w:pPr>
      <w:r w:rsidRPr="00BC74C6">
        <w:rPr>
          <w:rFonts w:ascii="仿宋" w:eastAsia="仿宋" w:hAnsi="仿宋" w:hint="eastAsia"/>
          <w:szCs w:val="28"/>
        </w:rPr>
        <w:t>为开拓</w:t>
      </w:r>
      <w:r w:rsidRPr="00BC74C6">
        <w:rPr>
          <w:rFonts w:ascii="仿宋" w:eastAsia="仿宋" w:hAnsi="仿宋"/>
          <w:szCs w:val="28"/>
        </w:rPr>
        <w:t>、提升现有技术转移从业人员的</w:t>
      </w:r>
      <w:r w:rsidRPr="00BC74C6">
        <w:rPr>
          <w:rFonts w:ascii="仿宋" w:eastAsia="仿宋" w:hAnsi="仿宋" w:hint="eastAsia"/>
          <w:szCs w:val="28"/>
        </w:rPr>
        <w:t>思路</w:t>
      </w:r>
      <w:r w:rsidRPr="00BC74C6">
        <w:rPr>
          <w:rFonts w:ascii="仿宋" w:eastAsia="仿宋" w:hAnsi="仿宋"/>
          <w:szCs w:val="28"/>
        </w:rPr>
        <w:t>与能力，</w:t>
      </w:r>
      <w:r w:rsidRPr="00BC74C6">
        <w:rPr>
          <w:rFonts w:ascii="仿宋" w:eastAsia="仿宋" w:hAnsi="仿宋" w:hint="eastAsia"/>
          <w:szCs w:val="28"/>
        </w:rPr>
        <w:t>上海</w:t>
      </w:r>
      <w:r w:rsidRPr="00BC74C6">
        <w:rPr>
          <w:rFonts w:ascii="仿宋" w:eastAsia="仿宋" w:hAnsi="仿宋"/>
          <w:szCs w:val="28"/>
        </w:rPr>
        <w:t>技术转移学院</w:t>
      </w:r>
      <w:r w:rsidRPr="00BC74C6">
        <w:rPr>
          <w:rFonts w:ascii="仿宋" w:eastAsia="仿宋" w:hAnsi="仿宋" w:hint="eastAsia"/>
          <w:szCs w:val="28"/>
        </w:rPr>
        <w:t>引入国际</w:t>
      </w:r>
      <w:r w:rsidRPr="00BC74C6">
        <w:rPr>
          <w:rFonts w:ascii="仿宋" w:eastAsia="仿宋" w:hAnsi="仿宋"/>
          <w:szCs w:val="28"/>
        </w:rPr>
        <w:t>认证技术</w:t>
      </w:r>
      <w:r w:rsidRPr="00BC74C6">
        <w:rPr>
          <w:rFonts w:ascii="仿宋" w:eastAsia="仿宋" w:hAnsi="仿宋" w:hint="eastAsia"/>
          <w:szCs w:val="28"/>
        </w:rPr>
        <w:t>许可</w:t>
      </w:r>
      <w:r w:rsidRPr="00BC74C6">
        <w:rPr>
          <w:rFonts w:ascii="仿宋" w:eastAsia="仿宋" w:hAnsi="仿宋"/>
          <w:szCs w:val="28"/>
        </w:rPr>
        <w:t>专家（</w:t>
      </w:r>
      <w:r w:rsidRPr="00BC74C6">
        <w:rPr>
          <w:rFonts w:ascii="仿宋" w:eastAsia="仿宋" w:hAnsi="仿宋" w:hint="eastAsia"/>
          <w:szCs w:val="28"/>
        </w:rPr>
        <w:t>Certified Licensing Professionals</w:t>
      </w:r>
      <w:r w:rsidRPr="00BC74C6">
        <w:rPr>
          <w:rFonts w:ascii="仿宋" w:eastAsia="仿宋" w:hAnsi="仿宋"/>
          <w:szCs w:val="28"/>
        </w:rPr>
        <w:t>, CLP）</w:t>
      </w:r>
      <w:r w:rsidRPr="00BC74C6">
        <w:rPr>
          <w:rFonts w:ascii="仿宋" w:eastAsia="仿宋" w:hAnsi="仿宋" w:hint="eastAsia"/>
          <w:szCs w:val="28"/>
        </w:rPr>
        <w:t>课程，并</w:t>
      </w:r>
      <w:r w:rsidRPr="00BC74C6">
        <w:rPr>
          <w:rFonts w:ascii="仿宋" w:eastAsia="仿宋" w:hAnsi="仿宋"/>
          <w:szCs w:val="28"/>
        </w:rPr>
        <w:t>邀请国内外</w:t>
      </w:r>
      <w:r w:rsidRPr="00BC74C6">
        <w:rPr>
          <w:rFonts w:ascii="仿宋" w:eastAsia="仿宋" w:hAnsi="仿宋" w:hint="eastAsia"/>
          <w:szCs w:val="28"/>
        </w:rPr>
        <w:t>技术转移</w:t>
      </w:r>
      <w:r w:rsidRPr="00BC74C6">
        <w:rPr>
          <w:rFonts w:ascii="仿宋" w:eastAsia="仿宋" w:hAnsi="仿宋"/>
          <w:szCs w:val="28"/>
        </w:rPr>
        <w:t>实践专家，针对创新成果的商业价值</w:t>
      </w:r>
      <w:r w:rsidRPr="00BC74C6">
        <w:rPr>
          <w:rFonts w:ascii="仿宋" w:eastAsia="仿宋" w:hAnsi="仿宋" w:hint="eastAsia"/>
          <w:szCs w:val="28"/>
        </w:rPr>
        <w:t>评估</w:t>
      </w:r>
      <w:r w:rsidRPr="00BC74C6">
        <w:rPr>
          <w:rFonts w:ascii="仿宋" w:eastAsia="仿宋" w:hAnsi="仿宋"/>
          <w:szCs w:val="28"/>
        </w:rPr>
        <w:t>、知识产权管理以及</w:t>
      </w:r>
      <w:r w:rsidRPr="00BC74C6">
        <w:rPr>
          <w:rFonts w:ascii="仿宋" w:eastAsia="仿宋" w:hAnsi="仿宋" w:hint="eastAsia"/>
          <w:szCs w:val="28"/>
        </w:rPr>
        <w:t>国内</w:t>
      </w:r>
      <w:r w:rsidRPr="00BC74C6">
        <w:rPr>
          <w:rFonts w:ascii="仿宋" w:eastAsia="仿宋" w:hAnsi="仿宋"/>
          <w:szCs w:val="28"/>
        </w:rPr>
        <w:t>国际转移转化等</w:t>
      </w:r>
      <w:r w:rsidRPr="00BC74C6">
        <w:rPr>
          <w:rFonts w:ascii="仿宋" w:eastAsia="仿宋" w:hAnsi="仿宋" w:hint="eastAsia"/>
          <w:szCs w:val="28"/>
        </w:rPr>
        <w:t>关键点</w:t>
      </w:r>
      <w:r w:rsidRPr="00BC74C6">
        <w:rPr>
          <w:rFonts w:ascii="仿宋" w:eastAsia="仿宋" w:hAnsi="仿宋"/>
          <w:szCs w:val="28"/>
        </w:rPr>
        <w:t>分模块授课</w:t>
      </w:r>
      <w:r w:rsidRPr="00BC74C6">
        <w:rPr>
          <w:rFonts w:ascii="仿宋" w:eastAsia="仿宋" w:hAnsi="仿宋" w:hint="eastAsia"/>
          <w:szCs w:val="28"/>
        </w:rPr>
        <w:t>。</w:t>
      </w:r>
      <w:r w:rsidRPr="0039794E">
        <w:rPr>
          <w:rFonts w:ascii="仿宋" w:eastAsia="仿宋" w:hAnsi="仿宋" w:hint="eastAsia"/>
          <w:spacing w:val="0"/>
          <w:szCs w:val="28"/>
        </w:rPr>
        <w:t>本课程</w:t>
      </w:r>
      <w:r>
        <w:rPr>
          <w:rFonts w:ascii="仿宋" w:eastAsia="仿宋" w:hAnsi="仿宋" w:hint="eastAsia"/>
          <w:spacing w:val="0"/>
          <w:szCs w:val="28"/>
        </w:rPr>
        <w:t>共</w:t>
      </w:r>
      <w:r w:rsidRPr="0039794E">
        <w:rPr>
          <w:rFonts w:ascii="仿宋" w:eastAsia="仿宋" w:hAnsi="仿宋" w:hint="eastAsia"/>
          <w:spacing w:val="0"/>
          <w:szCs w:val="28"/>
        </w:rPr>
        <w:t>由四大模块组成：</w:t>
      </w:r>
    </w:p>
    <w:p w:rsidR="009A1B9C" w:rsidRDefault="009A1B9C" w:rsidP="009A1B9C">
      <w:pPr>
        <w:pStyle w:val="a5"/>
        <w:spacing w:beforeLines="50" w:before="156" w:line="276" w:lineRule="auto"/>
        <w:ind w:firstLine="709"/>
        <w:jc w:val="left"/>
        <w:rPr>
          <w:rFonts w:ascii="仿宋" w:eastAsia="仿宋" w:hAnsi="仿宋"/>
          <w:spacing w:val="0"/>
          <w:szCs w:val="28"/>
        </w:rPr>
      </w:pPr>
      <w:r w:rsidRPr="0039794E">
        <w:rPr>
          <w:rFonts w:ascii="仿宋" w:eastAsia="仿宋" w:hAnsi="仿宋" w:hint="eastAsia"/>
          <w:spacing w:val="0"/>
          <w:szCs w:val="28"/>
        </w:rPr>
        <w:t>第一模块</w:t>
      </w:r>
      <w:r>
        <w:rPr>
          <w:rFonts w:ascii="仿宋" w:eastAsia="仿宋" w:hAnsi="仿宋" w:hint="eastAsia"/>
          <w:spacing w:val="0"/>
          <w:szCs w:val="28"/>
        </w:rPr>
        <w:t>（</w:t>
      </w:r>
      <w:r>
        <w:rPr>
          <w:rFonts w:ascii="仿宋" w:eastAsia="仿宋" w:hAnsi="仿宋"/>
          <w:spacing w:val="0"/>
          <w:szCs w:val="28"/>
        </w:rPr>
        <w:t>2018年6月中下旬授课）</w:t>
      </w:r>
      <w:r w:rsidRPr="0039794E">
        <w:rPr>
          <w:rFonts w:ascii="仿宋" w:eastAsia="仿宋" w:hAnsi="仿宋" w:hint="eastAsia"/>
          <w:spacing w:val="0"/>
          <w:szCs w:val="28"/>
        </w:rPr>
        <w:t>：</w:t>
      </w:r>
    </w:p>
    <w:p w:rsidR="009A1B9C" w:rsidRPr="0039794E" w:rsidRDefault="009A1B9C" w:rsidP="009A1B9C">
      <w:pPr>
        <w:pStyle w:val="a5"/>
        <w:spacing w:beforeLines="50" w:before="156" w:line="276" w:lineRule="auto"/>
        <w:ind w:firstLine="709"/>
        <w:jc w:val="left"/>
        <w:rPr>
          <w:rFonts w:ascii="仿宋" w:eastAsia="仿宋" w:hAnsi="仿宋"/>
          <w:spacing w:val="0"/>
          <w:szCs w:val="28"/>
        </w:rPr>
      </w:pPr>
      <w:r w:rsidRPr="0039794E">
        <w:rPr>
          <w:rFonts w:ascii="仿宋" w:eastAsia="仿宋" w:hAnsi="仿宋" w:hint="eastAsia"/>
          <w:spacing w:val="0"/>
          <w:szCs w:val="28"/>
        </w:rPr>
        <w:t>技术转移概述（Technology</w:t>
      </w:r>
      <w:r w:rsidRPr="0039794E">
        <w:rPr>
          <w:rFonts w:ascii="仿宋" w:eastAsia="仿宋" w:hAnsi="仿宋"/>
          <w:spacing w:val="0"/>
          <w:szCs w:val="28"/>
        </w:rPr>
        <w:t xml:space="preserve"> </w:t>
      </w:r>
      <w:r w:rsidRPr="0039794E">
        <w:rPr>
          <w:rFonts w:ascii="仿宋" w:eastAsia="仿宋" w:hAnsi="仿宋" w:hint="eastAsia"/>
          <w:spacing w:val="0"/>
          <w:szCs w:val="28"/>
        </w:rPr>
        <w:t>Transfer</w:t>
      </w:r>
      <w:r w:rsidRPr="0039794E">
        <w:rPr>
          <w:rFonts w:ascii="仿宋" w:eastAsia="仿宋" w:hAnsi="仿宋"/>
          <w:spacing w:val="0"/>
          <w:szCs w:val="28"/>
        </w:rPr>
        <w:t xml:space="preserve"> </w:t>
      </w:r>
      <w:r w:rsidRPr="0039794E">
        <w:rPr>
          <w:rFonts w:ascii="仿宋" w:eastAsia="仿宋" w:hAnsi="仿宋" w:hint="eastAsia"/>
          <w:spacing w:val="0"/>
          <w:szCs w:val="28"/>
        </w:rPr>
        <w:t>Overview）、LES和CLP介绍（Introduction</w:t>
      </w:r>
      <w:r w:rsidRPr="0039794E">
        <w:rPr>
          <w:rFonts w:ascii="仿宋" w:eastAsia="仿宋" w:hAnsi="仿宋"/>
          <w:spacing w:val="0"/>
          <w:szCs w:val="28"/>
        </w:rPr>
        <w:t xml:space="preserve"> </w:t>
      </w:r>
      <w:r w:rsidRPr="0039794E">
        <w:rPr>
          <w:rFonts w:ascii="仿宋" w:eastAsia="仿宋" w:hAnsi="仿宋" w:hint="eastAsia"/>
          <w:spacing w:val="0"/>
          <w:szCs w:val="28"/>
        </w:rPr>
        <w:t>of</w:t>
      </w:r>
      <w:r w:rsidRPr="0039794E">
        <w:rPr>
          <w:rFonts w:ascii="仿宋" w:eastAsia="仿宋" w:hAnsi="仿宋"/>
          <w:spacing w:val="0"/>
          <w:szCs w:val="28"/>
        </w:rPr>
        <w:t xml:space="preserve"> </w:t>
      </w:r>
      <w:r w:rsidRPr="0039794E">
        <w:rPr>
          <w:rFonts w:ascii="仿宋" w:eastAsia="仿宋" w:hAnsi="仿宋" w:hint="eastAsia"/>
          <w:spacing w:val="0"/>
          <w:szCs w:val="28"/>
        </w:rPr>
        <w:t>LES</w:t>
      </w:r>
      <w:r w:rsidRPr="0039794E">
        <w:rPr>
          <w:rFonts w:ascii="仿宋" w:eastAsia="仿宋" w:hAnsi="仿宋"/>
          <w:spacing w:val="0"/>
          <w:szCs w:val="28"/>
        </w:rPr>
        <w:t xml:space="preserve"> </w:t>
      </w:r>
      <w:r w:rsidRPr="0039794E">
        <w:rPr>
          <w:rFonts w:ascii="仿宋" w:eastAsia="仿宋" w:hAnsi="仿宋" w:hint="eastAsia"/>
          <w:spacing w:val="0"/>
          <w:szCs w:val="28"/>
        </w:rPr>
        <w:t>and</w:t>
      </w:r>
      <w:r w:rsidRPr="0039794E">
        <w:rPr>
          <w:rFonts w:ascii="仿宋" w:eastAsia="仿宋" w:hAnsi="仿宋"/>
          <w:spacing w:val="0"/>
          <w:szCs w:val="28"/>
        </w:rPr>
        <w:t xml:space="preserve"> </w:t>
      </w:r>
      <w:r w:rsidRPr="0039794E">
        <w:rPr>
          <w:rFonts w:ascii="仿宋" w:eastAsia="仿宋" w:hAnsi="仿宋" w:hint="eastAsia"/>
          <w:spacing w:val="0"/>
          <w:szCs w:val="28"/>
        </w:rPr>
        <w:t>CLP）、基于技术创新的商业策略和知识产权策略（Business</w:t>
      </w:r>
      <w:r w:rsidRPr="0039794E">
        <w:rPr>
          <w:rFonts w:ascii="仿宋" w:eastAsia="仿宋" w:hAnsi="仿宋"/>
          <w:spacing w:val="0"/>
          <w:szCs w:val="28"/>
        </w:rPr>
        <w:t xml:space="preserve"> </w:t>
      </w:r>
      <w:r w:rsidRPr="0039794E">
        <w:rPr>
          <w:rFonts w:ascii="仿宋" w:eastAsia="仿宋" w:hAnsi="仿宋" w:hint="eastAsia"/>
          <w:spacing w:val="0"/>
          <w:szCs w:val="28"/>
        </w:rPr>
        <w:t>and</w:t>
      </w:r>
      <w:r w:rsidRPr="0039794E">
        <w:rPr>
          <w:rFonts w:ascii="仿宋" w:eastAsia="仿宋" w:hAnsi="仿宋"/>
          <w:spacing w:val="0"/>
          <w:szCs w:val="28"/>
        </w:rPr>
        <w:t xml:space="preserve"> </w:t>
      </w:r>
      <w:r w:rsidRPr="0039794E">
        <w:rPr>
          <w:rFonts w:ascii="仿宋" w:eastAsia="仿宋" w:hAnsi="仿宋" w:hint="eastAsia"/>
          <w:spacing w:val="0"/>
          <w:szCs w:val="28"/>
        </w:rPr>
        <w:t>IP</w:t>
      </w:r>
      <w:r w:rsidRPr="0039794E">
        <w:rPr>
          <w:rFonts w:ascii="仿宋" w:eastAsia="仿宋" w:hAnsi="仿宋"/>
          <w:spacing w:val="0"/>
          <w:szCs w:val="28"/>
        </w:rPr>
        <w:t xml:space="preserve"> </w:t>
      </w:r>
      <w:r w:rsidRPr="0039794E">
        <w:rPr>
          <w:rFonts w:ascii="仿宋" w:eastAsia="仿宋" w:hAnsi="仿宋" w:hint="eastAsia"/>
          <w:spacing w:val="0"/>
          <w:szCs w:val="28"/>
        </w:rPr>
        <w:t>Strategy）、和各类知识产权保护的特点和技巧（Intellectual</w:t>
      </w:r>
      <w:r w:rsidRPr="0039794E">
        <w:rPr>
          <w:rFonts w:ascii="仿宋" w:eastAsia="仿宋" w:hAnsi="仿宋"/>
          <w:spacing w:val="0"/>
          <w:szCs w:val="28"/>
        </w:rPr>
        <w:t xml:space="preserve"> </w:t>
      </w:r>
      <w:r w:rsidRPr="0039794E">
        <w:rPr>
          <w:rFonts w:ascii="仿宋" w:eastAsia="仿宋" w:hAnsi="仿宋" w:hint="eastAsia"/>
          <w:spacing w:val="0"/>
          <w:szCs w:val="28"/>
        </w:rPr>
        <w:t>Property</w:t>
      </w:r>
      <w:r w:rsidRPr="0039794E">
        <w:rPr>
          <w:rFonts w:ascii="仿宋" w:eastAsia="仿宋" w:hAnsi="仿宋"/>
          <w:spacing w:val="0"/>
          <w:szCs w:val="28"/>
        </w:rPr>
        <w:t xml:space="preserve"> </w:t>
      </w:r>
      <w:r w:rsidRPr="0039794E">
        <w:rPr>
          <w:rFonts w:ascii="仿宋" w:eastAsia="仿宋" w:hAnsi="仿宋" w:hint="eastAsia"/>
          <w:spacing w:val="0"/>
          <w:szCs w:val="28"/>
        </w:rPr>
        <w:t>Protection）</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技术转移的内涵及其与知识产权的关系</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技术转移和知识产权运营的客观规律</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高质量高价值知识产权是技术转移成功的关键</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技术转移和知识产权运营的行业特点及人才需求</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中国技术转移和知识产权运营所面临的问题与挑战</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科研人员对知识产权和转化的常见错误认知和做法</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LES和CLP介绍：宗旨、起源、组织、国际影响等</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lastRenderedPageBreak/>
        <w:t>创新企业的商业和知识产权策略以及如何发展该策略</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企业无形资产管理模式及无形资产缺陷分析</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企业如何建立有效的知识产权管理体系和机构</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 xml:space="preserve">技术秘密、专利、版权和商标等各类知识产权的特征和作用 </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如何选择正确的知识产权保护方式和建立有巨大商业价值的企业无形资产组合</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专利深度知识：专利性判断、抵触、无效手段、侵权分析等</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专利申请、保护、运用的国内外规则的共性和差异</w:t>
      </w:r>
    </w:p>
    <w:p w:rsidR="009A1B9C" w:rsidRPr="0039794E" w:rsidRDefault="009A1B9C" w:rsidP="009A1B9C">
      <w:pPr>
        <w:pStyle w:val="a5"/>
        <w:spacing w:beforeLines="50" w:before="156" w:line="276" w:lineRule="auto"/>
        <w:ind w:left="993" w:firstLine="0"/>
        <w:jc w:val="left"/>
        <w:rPr>
          <w:rFonts w:ascii="仿宋" w:eastAsia="仿宋" w:hAnsi="仿宋"/>
          <w:spacing w:val="0"/>
          <w:szCs w:val="28"/>
        </w:rPr>
      </w:pPr>
    </w:p>
    <w:p w:rsidR="009A1B9C" w:rsidRDefault="009A1B9C" w:rsidP="009A1B9C">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第二模块</w:t>
      </w:r>
      <w:r>
        <w:rPr>
          <w:rFonts w:ascii="仿宋" w:eastAsia="仿宋" w:hAnsi="仿宋" w:hint="eastAsia"/>
          <w:spacing w:val="0"/>
          <w:szCs w:val="28"/>
        </w:rPr>
        <w:t>（2</w:t>
      </w:r>
      <w:r>
        <w:rPr>
          <w:rFonts w:ascii="仿宋" w:eastAsia="仿宋" w:hAnsi="仿宋"/>
          <w:spacing w:val="0"/>
          <w:szCs w:val="28"/>
        </w:rPr>
        <w:t>018年7月底/8月初授课）</w:t>
      </w:r>
      <w:r w:rsidRPr="0039794E">
        <w:rPr>
          <w:rFonts w:ascii="仿宋" w:eastAsia="仿宋" w:hAnsi="仿宋" w:hint="eastAsia"/>
          <w:spacing w:val="0"/>
          <w:szCs w:val="28"/>
        </w:rPr>
        <w:t>：</w:t>
      </w:r>
      <w:bookmarkStart w:id="0" w:name="_Hlk511353411"/>
    </w:p>
    <w:p w:rsidR="009A1B9C" w:rsidRPr="0039794E" w:rsidRDefault="009A1B9C" w:rsidP="009A1B9C">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创新发明的潜在商业价值分析评估</w:t>
      </w:r>
      <w:bookmarkEnd w:id="0"/>
      <w:r w:rsidRPr="0039794E">
        <w:rPr>
          <w:rFonts w:ascii="仿宋" w:eastAsia="仿宋" w:hAnsi="仿宋" w:hint="eastAsia"/>
          <w:spacing w:val="0"/>
          <w:szCs w:val="28"/>
        </w:rPr>
        <w:t>（Invention</w:t>
      </w:r>
      <w:r w:rsidRPr="0039794E">
        <w:rPr>
          <w:rFonts w:ascii="仿宋" w:eastAsia="仿宋" w:hAnsi="仿宋"/>
          <w:spacing w:val="0"/>
          <w:szCs w:val="28"/>
        </w:rPr>
        <w:t xml:space="preserve"> Assessment</w:t>
      </w:r>
      <w:r w:rsidRPr="0039794E">
        <w:rPr>
          <w:rFonts w:ascii="仿宋" w:eastAsia="仿宋" w:hAnsi="仿宋" w:hint="eastAsia"/>
          <w:spacing w:val="0"/>
          <w:szCs w:val="28"/>
        </w:rPr>
        <w:t>）、</w:t>
      </w:r>
      <w:bookmarkStart w:id="1" w:name="_Hlk511353749"/>
      <w:r w:rsidRPr="0039794E">
        <w:rPr>
          <w:rFonts w:ascii="仿宋" w:eastAsia="仿宋" w:hAnsi="仿宋" w:hint="eastAsia"/>
          <w:spacing w:val="0"/>
          <w:szCs w:val="28"/>
        </w:rPr>
        <w:t>企业现有知识产权资产组合的分类、梳理、价值和需求评估</w:t>
      </w:r>
      <w:bookmarkEnd w:id="1"/>
      <w:r w:rsidRPr="0039794E">
        <w:rPr>
          <w:rFonts w:ascii="仿宋" w:eastAsia="仿宋" w:hAnsi="仿宋" w:hint="eastAsia"/>
          <w:spacing w:val="0"/>
          <w:szCs w:val="28"/>
        </w:rPr>
        <w:t>（IP</w:t>
      </w:r>
      <w:r w:rsidRPr="0039794E">
        <w:rPr>
          <w:rFonts w:ascii="仿宋" w:eastAsia="仿宋" w:hAnsi="仿宋"/>
          <w:spacing w:val="0"/>
          <w:szCs w:val="28"/>
        </w:rPr>
        <w:t xml:space="preserve"> Portfolio </w:t>
      </w:r>
      <w:r w:rsidRPr="0039794E">
        <w:rPr>
          <w:rFonts w:ascii="仿宋" w:eastAsia="仿宋" w:hAnsi="仿宋" w:hint="eastAsia"/>
          <w:spacing w:val="0"/>
          <w:szCs w:val="28"/>
        </w:rPr>
        <w:t>Segmentation，Evaluation，and</w:t>
      </w:r>
      <w:r w:rsidRPr="0039794E">
        <w:rPr>
          <w:rFonts w:ascii="仿宋" w:eastAsia="仿宋" w:hAnsi="仿宋"/>
          <w:spacing w:val="0"/>
          <w:szCs w:val="28"/>
        </w:rPr>
        <w:t xml:space="preserve"> </w:t>
      </w:r>
      <w:r w:rsidRPr="0039794E">
        <w:rPr>
          <w:rFonts w:ascii="仿宋" w:eastAsia="仿宋" w:hAnsi="仿宋" w:hint="eastAsia"/>
          <w:spacing w:val="0"/>
          <w:szCs w:val="28"/>
        </w:rPr>
        <w:t>Opportunity</w:t>
      </w:r>
      <w:r w:rsidRPr="0039794E">
        <w:rPr>
          <w:rFonts w:ascii="仿宋" w:eastAsia="仿宋" w:hAnsi="仿宋"/>
          <w:spacing w:val="0"/>
          <w:szCs w:val="28"/>
        </w:rPr>
        <w:t xml:space="preserve"> </w:t>
      </w:r>
      <w:r w:rsidRPr="0039794E">
        <w:rPr>
          <w:rFonts w:ascii="仿宋" w:eastAsia="仿宋" w:hAnsi="仿宋" w:hint="eastAsia"/>
          <w:spacing w:val="0"/>
          <w:szCs w:val="28"/>
        </w:rPr>
        <w:t>Assessment）、知识产权交易价值评估（Valuation）、美国斯坦福大学技术许可办公室（OTL）技术转移和知识产权运营管理介绍和案例解析、以及</w:t>
      </w:r>
      <w:bookmarkStart w:id="2" w:name="_Hlk511353554"/>
      <w:r w:rsidRPr="0039794E">
        <w:rPr>
          <w:rFonts w:ascii="仿宋" w:eastAsia="仿宋" w:hAnsi="仿宋" w:hint="eastAsia"/>
          <w:spacing w:val="0"/>
          <w:szCs w:val="28"/>
        </w:rPr>
        <w:t>真实案例的实践演练</w:t>
      </w:r>
      <w:bookmarkEnd w:id="2"/>
      <w:r w:rsidRPr="0039794E">
        <w:rPr>
          <w:rFonts w:ascii="仿宋" w:eastAsia="仿宋" w:hAnsi="仿宋" w:hint="eastAsia"/>
          <w:spacing w:val="0"/>
          <w:szCs w:val="28"/>
        </w:rPr>
        <w:t>（Case</w:t>
      </w:r>
      <w:r w:rsidRPr="0039794E">
        <w:rPr>
          <w:rFonts w:ascii="仿宋" w:eastAsia="仿宋" w:hAnsi="仿宋"/>
          <w:spacing w:val="0"/>
          <w:szCs w:val="28"/>
        </w:rPr>
        <w:t xml:space="preserve"> </w:t>
      </w:r>
      <w:r w:rsidRPr="0039794E">
        <w:rPr>
          <w:rFonts w:ascii="仿宋" w:eastAsia="仿宋" w:hAnsi="仿宋" w:hint="eastAsia"/>
          <w:spacing w:val="0"/>
          <w:szCs w:val="28"/>
        </w:rPr>
        <w:t>Studies</w:t>
      </w:r>
      <w:r w:rsidRPr="0039794E">
        <w:rPr>
          <w:rFonts w:ascii="仿宋" w:eastAsia="仿宋" w:hAnsi="仿宋"/>
          <w:spacing w:val="0"/>
          <w:szCs w:val="28"/>
        </w:rPr>
        <w:t xml:space="preserve"> </w:t>
      </w:r>
      <w:r w:rsidRPr="0039794E">
        <w:rPr>
          <w:rFonts w:ascii="仿宋" w:eastAsia="仿宋" w:hAnsi="仿宋" w:hint="eastAsia"/>
          <w:spacing w:val="0"/>
          <w:szCs w:val="28"/>
        </w:rPr>
        <w:t>and</w:t>
      </w:r>
      <w:r w:rsidRPr="0039794E">
        <w:rPr>
          <w:rFonts w:ascii="仿宋" w:eastAsia="仿宋" w:hAnsi="仿宋"/>
          <w:spacing w:val="0"/>
          <w:szCs w:val="28"/>
        </w:rPr>
        <w:t xml:space="preserve"> </w:t>
      </w:r>
      <w:r w:rsidRPr="0039794E">
        <w:rPr>
          <w:rFonts w:ascii="仿宋" w:eastAsia="仿宋" w:hAnsi="仿宋" w:hint="eastAsia"/>
          <w:spacing w:val="0"/>
          <w:szCs w:val="28"/>
        </w:rPr>
        <w:t>Practice）</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创新发明的合理的知识产权保护方式判断</w:t>
      </w:r>
    </w:p>
    <w:p w:rsidR="009A1B9C" w:rsidRPr="00C97E11"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创新发明的专利性评估：新颖性和创造性的判断</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创新发明的潜在商业价值评估：自由实施度、竞争优劣势和</w:t>
      </w:r>
      <w:r w:rsidRPr="0039794E">
        <w:rPr>
          <w:rFonts w:ascii="仿宋" w:eastAsia="仿宋" w:hAnsi="仿宋" w:hint="eastAsia"/>
          <w:spacing w:val="0"/>
          <w:szCs w:val="28"/>
        </w:rPr>
        <w:lastRenderedPageBreak/>
        <w:t>风险</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高科技项目的投资前景分析评估</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企业现有知识产权资产组合的分类、梳理、价值评估和处理</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企业的知识产权需求分析以及潜在商业机会的分析与发现</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如何发现、分析、评估和获得企业所需要的知识产权</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企业技术许可引进的商业计划形成和许可实施</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知识产权价值评估的基本原则和过程</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影响知识产权交易价值的常见因素分析</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知识产权交易价值评估的常用方法和行业规则</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美国斯坦福大学技术许可办公室（OTL）技术转移和知识产权运营管理介绍和案例解析</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 xml:space="preserve">真实创新发明项目潜在商业价值分析评估的实践演练 </w:t>
      </w:r>
    </w:p>
    <w:p w:rsidR="009A1B9C" w:rsidRPr="0039794E" w:rsidRDefault="009A1B9C" w:rsidP="009A1B9C">
      <w:pPr>
        <w:pStyle w:val="a5"/>
        <w:spacing w:beforeLines="50" w:before="156" w:line="276" w:lineRule="auto"/>
        <w:ind w:leftChars="6" w:left="13" w:firstLine="463"/>
        <w:jc w:val="left"/>
        <w:rPr>
          <w:rFonts w:ascii="仿宋" w:eastAsia="仿宋" w:hAnsi="仿宋"/>
          <w:spacing w:val="0"/>
          <w:szCs w:val="28"/>
        </w:rPr>
      </w:pPr>
    </w:p>
    <w:p w:rsidR="009A1B9C" w:rsidRDefault="009A1B9C" w:rsidP="009A1B9C">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第三模块</w:t>
      </w:r>
      <w:r>
        <w:rPr>
          <w:rFonts w:ascii="仿宋" w:eastAsia="仿宋" w:hAnsi="仿宋" w:hint="eastAsia"/>
          <w:spacing w:val="0"/>
          <w:szCs w:val="28"/>
        </w:rPr>
        <w:t>：（2</w:t>
      </w:r>
      <w:r>
        <w:rPr>
          <w:rFonts w:ascii="仿宋" w:eastAsia="仿宋" w:hAnsi="仿宋"/>
          <w:spacing w:val="0"/>
          <w:szCs w:val="28"/>
        </w:rPr>
        <w:t>018年8月底</w:t>
      </w:r>
      <w:r>
        <w:rPr>
          <w:rFonts w:ascii="仿宋" w:eastAsia="仿宋" w:hAnsi="仿宋" w:hint="eastAsia"/>
          <w:spacing w:val="0"/>
          <w:szCs w:val="28"/>
        </w:rPr>
        <w:t>/</w:t>
      </w:r>
      <w:r>
        <w:rPr>
          <w:rFonts w:ascii="仿宋" w:eastAsia="仿宋" w:hAnsi="仿宋"/>
          <w:spacing w:val="0"/>
          <w:szCs w:val="28"/>
        </w:rPr>
        <w:t>9月初授课）</w:t>
      </w:r>
      <w:r w:rsidRPr="0039794E">
        <w:rPr>
          <w:rFonts w:ascii="仿宋" w:eastAsia="仿宋" w:hAnsi="仿宋" w:hint="eastAsia"/>
          <w:spacing w:val="0"/>
          <w:szCs w:val="28"/>
        </w:rPr>
        <w:t>：</w:t>
      </w:r>
    </w:p>
    <w:p w:rsidR="009A1B9C" w:rsidRPr="0039794E" w:rsidRDefault="009A1B9C" w:rsidP="009A1B9C">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创新成果进行全球转化的市场推广技巧（Technology</w:t>
      </w:r>
      <w:r w:rsidRPr="0039794E">
        <w:rPr>
          <w:rFonts w:ascii="仿宋" w:eastAsia="仿宋" w:hAnsi="仿宋"/>
          <w:spacing w:val="0"/>
          <w:szCs w:val="28"/>
        </w:rPr>
        <w:t xml:space="preserve"> </w:t>
      </w:r>
      <w:r w:rsidRPr="0039794E">
        <w:rPr>
          <w:rFonts w:ascii="仿宋" w:eastAsia="仿宋" w:hAnsi="仿宋" w:hint="eastAsia"/>
          <w:spacing w:val="0"/>
          <w:szCs w:val="28"/>
        </w:rPr>
        <w:t>Global</w:t>
      </w:r>
      <w:r w:rsidRPr="0039794E">
        <w:rPr>
          <w:rFonts w:ascii="仿宋" w:eastAsia="仿宋" w:hAnsi="仿宋"/>
          <w:spacing w:val="0"/>
          <w:szCs w:val="28"/>
        </w:rPr>
        <w:t xml:space="preserve"> </w:t>
      </w:r>
      <w:r w:rsidRPr="0039794E">
        <w:rPr>
          <w:rFonts w:ascii="仿宋" w:eastAsia="仿宋" w:hAnsi="仿宋" w:hint="eastAsia"/>
          <w:spacing w:val="0"/>
          <w:szCs w:val="28"/>
        </w:rPr>
        <w:t>Marketing）、知识产权许可过程中的商业谈判技巧（Business</w:t>
      </w:r>
      <w:r w:rsidRPr="0039794E">
        <w:rPr>
          <w:rFonts w:ascii="仿宋" w:eastAsia="仿宋" w:hAnsi="仿宋"/>
          <w:spacing w:val="0"/>
          <w:szCs w:val="28"/>
        </w:rPr>
        <w:t xml:space="preserve"> </w:t>
      </w:r>
      <w:r w:rsidRPr="0039794E">
        <w:rPr>
          <w:rFonts w:ascii="仿宋" w:eastAsia="仿宋" w:hAnsi="仿宋" w:hint="eastAsia"/>
          <w:spacing w:val="0"/>
          <w:szCs w:val="28"/>
        </w:rPr>
        <w:t>Negotiation）、美国洛克菲勒大学技术转移办公室（OTT）技术转移和知识产权运营管理介绍和案例解析、以及及项目实践演练（Case</w:t>
      </w:r>
      <w:r w:rsidRPr="0039794E">
        <w:rPr>
          <w:rFonts w:ascii="仿宋" w:eastAsia="仿宋" w:hAnsi="仿宋"/>
          <w:spacing w:val="0"/>
          <w:szCs w:val="28"/>
        </w:rPr>
        <w:t xml:space="preserve"> </w:t>
      </w:r>
      <w:r w:rsidRPr="0039794E">
        <w:rPr>
          <w:rFonts w:ascii="仿宋" w:eastAsia="仿宋" w:hAnsi="仿宋" w:hint="eastAsia"/>
          <w:spacing w:val="0"/>
          <w:szCs w:val="28"/>
        </w:rPr>
        <w:t>Studies</w:t>
      </w:r>
      <w:r w:rsidRPr="0039794E">
        <w:rPr>
          <w:rFonts w:ascii="仿宋" w:eastAsia="仿宋" w:hAnsi="仿宋"/>
          <w:spacing w:val="0"/>
          <w:szCs w:val="28"/>
        </w:rPr>
        <w:t xml:space="preserve"> </w:t>
      </w:r>
      <w:r w:rsidRPr="0039794E">
        <w:rPr>
          <w:rFonts w:ascii="仿宋" w:eastAsia="仿宋" w:hAnsi="仿宋" w:hint="eastAsia"/>
          <w:spacing w:val="0"/>
          <w:szCs w:val="28"/>
        </w:rPr>
        <w:t>and</w:t>
      </w:r>
      <w:r w:rsidRPr="0039794E">
        <w:rPr>
          <w:rFonts w:ascii="仿宋" w:eastAsia="仿宋" w:hAnsi="仿宋"/>
          <w:spacing w:val="0"/>
          <w:szCs w:val="28"/>
        </w:rPr>
        <w:t xml:space="preserve"> </w:t>
      </w:r>
      <w:r w:rsidRPr="0039794E">
        <w:rPr>
          <w:rFonts w:ascii="仿宋" w:eastAsia="仿宋" w:hAnsi="仿宋" w:hint="eastAsia"/>
          <w:spacing w:val="0"/>
          <w:szCs w:val="28"/>
        </w:rPr>
        <w:t>Practice）</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lastRenderedPageBreak/>
        <w:t>企业和高校院所创新成果对外转移转化的基本原则和过程</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创新成果的市场推广策略与技巧</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创新成果的市场推广材料准备、推广方法和渠道</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知识产权和/或技术许可谈判过程的准备工作：什么是PLAN？</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谈判前要确定最佳备选方案：什么是BATNA？</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如何计划和形成谈判的具体策略？</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商业谈判的基本原则</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多种谈判技巧及其特点和优劣势</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商业谈判实战案例描述、分析和经验讲解</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商业谈判中的伦理道德标准</w:t>
      </w:r>
    </w:p>
    <w:p w:rsidR="009A1B9C" w:rsidRPr="00C97E11"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LES的商业谈判行为规范</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美国洛克菲勒大学技术转移办公室（OTT）技术转移和知识产权运营管理介绍和案例解析</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技术许可商业谈判实践演练</w:t>
      </w:r>
    </w:p>
    <w:p w:rsidR="009A1B9C" w:rsidRPr="0039794E" w:rsidRDefault="009A1B9C" w:rsidP="009A1B9C">
      <w:pPr>
        <w:pStyle w:val="a5"/>
        <w:spacing w:beforeLines="50" w:before="156" w:line="276" w:lineRule="auto"/>
        <w:ind w:leftChars="6" w:left="13" w:firstLine="463"/>
        <w:jc w:val="left"/>
        <w:rPr>
          <w:rFonts w:ascii="仿宋" w:eastAsia="仿宋" w:hAnsi="仿宋"/>
          <w:spacing w:val="0"/>
          <w:szCs w:val="28"/>
        </w:rPr>
      </w:pPr>
    </w:p>
    <w:p w:rsidR="009A1B9C" w:rsidRDefault="009A1B9C" w:rsidP="009A1B9C">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第四模块</w:t>
      </w:r>
      <w:r>
        <w:rPr>
          <w:rFonts w:ascii="仿宋" w:eastAsia="仿宋" w:hAnsi="仿宋" w:hint="eastAsia"/>
          <w:spacing w:val="0"/>
          <w:szCs w:val="28"/>
        </w:rPr>
        <w:t>（2</w:t>
      </w:r>
      <w:r>
        <w:rPr>
          <w:rFonts w:ascii="仿宋" w:eastAsia="仿宋" w:hAnsi="仿宋"/>
          <w:spacing w:val="0"/>
          <w:szCs w:val="28"/>
        </w:rPr>
        <w:t>018年9月底</w:t>
      </w:r>
      <w:r>
        <w:rPr>
          <w:rFonts w:ascii="仿宋" w:eastAsia="仿宋" w:hAnsi="仿宋" w:hint="eastAsia"/>
          <w:spacing w:val="0"/>
          <w:szCs w:val="28"/>
        </w:rPr>
        <w:t>/</w:t>
      </w:r>
      <w:r>
        <w:rPr>
          <w:rFonts w:ascii="仿宋" w:eastAsia="仿宋" w:hAnsi="仿宋"/>
          <w:spacing w:val="0"/>
          <w:szCs w:val="28"/>
        </w:rPr>
        <w:t>10</w:t>
      </w:r>
      <w:r>
        <w:rPr>
          <w:rFonts w:ascii="仿宋" w:eastAsia="仿宋" w:hAnsi="仿宋" w:hint="eastAsia"/>
          <w:spacing w:val="0"/>
          <w:szCs w:val="28"/>
        </w:rPr>
        <w:t>月</w:t>
      </w:r>
      <w:r>
        <w:rPr>
          <w:rFonts w:ascii="仿宋" w:eastAsia="仿宋" w:hAnsi="仿宋"/>
          <w:spacing w:val="0"/>
          <w:szCs w:val="28"/>
        </w:rPr>
        <w:t>初授课）</w:t>
      </w:r>
      <w:r>
        <w:rPr>
          <w:rFonts w:ascii="仿宋" w:eastAsia="仿宋" w:hAnsi="仿宋" w:hint="eastAsia"/>
          <w:spacing w:val="0"/>
          <w:szCs w:val="28"/>
        </w:rPr>
        <w:t>：</w:t>
      </w:r>
    </w:p>
    <w:p w:rsidR="009A1B9C" w:rsidRPr="0039794E" w:rsidRDefault="009A1B9C" w:rsidP="009A1B9C">
      <w:pPr>
        <w:pStyle w:val="a5"/>
        <w:spacing w:beforeLines="50" w:before="156" w:line="276" w:lineRule="auto"/>
        <w:ind w:leftChars="6" w:left="13" w:firstLine="463"/>
        <w:jc w:val="left"/>
        <w:rPr>
          <w:rFonts w:ascii="仿宋" w:eastAsia="仿宋" w:hAnsi="仿宋"/>
          <w:spacing w:val="0"/>
          <w:szCs w:val="28"/>
        </w:rPr>
      </w:pPr>
      <w:r w:rsidRPr="0039794E">
        <w:rPr>
          <w:rFonts w:ascii="仿宋" w:eastAsia="仿宋" w:hAnsi="仿宋" w:hint="eastAsia"/>
          <w:spacing w:val="0"/>
          <w:szCs w:val="28"/>
        </w:rPr>
        <w:t>许可协议的起草和制定（Agreement</w:t>
      </w:r>
      <w:r w:rsidRPr="0039794E">
        <w:rPr>
          <w:rFonts w:ascii="仿宋" w:eastAsia="仿宋" w:hAnsi="仿宋"/>
          <w:spacing w:val="0"/>
          <w:szCs w:val="28"/>
        </w:rPr>
        <w:t xml:space="preserve"> </w:t>
      </w:r>
      <w:r w:rsidRPr="0039794E">
        <w:rPr>
          <w:rFonts w:ascii="仿宋" w:eastAsia="仿宋" w:hAnsi="仿宋" w:hint="eastAsia"/>
          <w:spacing w:val="0"/>
          <w:szCs w:val="28"/>
        </w:rPr>
        <w:t>Development</w:t>
      </w:r>
      <w:r w:rsidRPr="0039794E">
        <w:rPr>
          <w:rFonts w:ascii="仿宋" w:eastAsia="仿宋" w:hAnsi="仿宋"/>
          <w:spacing w:val="0"/>
          <w:szCs w:val="28"/>
        </w:rPr>
        <w:t xml:space="preserve"> and </w:t>
      </w:r>
      <w:r w:rsidRPr="0039794E">
        <w:rPr>
          <w:rFonts w:ascii="仿宋" w:eastAsia="仿宋" w:hAnsi="仿宋"/>
          <w:spacing w:val="0"/>
          <w:szCs w:val="28"/>
        </w:rPr>
        <w:lastRenderedPageBreak/>
        <w:t>Drafting</w:t>
      </w:r>
      <w:r w:rsidRPr="0039794E">
        <w:rPr>
          <w:rFonts w:ascii="仿宋" w:eastAsia="仿宋" w:hAnsi="仿宋" w:hint="eastAsia"/>
          <w:spacing w:val="0"/>
          <w:szCs w:val="28"/>
        </w:rPr>
        <w:t>）、已签署许可协议的后续管理（Agreement</w:t>
      </w:r>
      <w:r w:rsidRPr="0039794E">
        <w:rPr>
          <w:rFonts w:ascii="仿宋" w:eastAsia="仿宋" w:hAnsi="仿宋"/>
          <w:spacing w:val="0"/>
          <w:szCs w:val="28"/>
        </w:rPr>
        <w:t xml:space="preserve"> Management</w:t>
      </w:r>
      <w:r w:rsidRPr="0039794E">
        <w:rPr>
          <w:rFonts w:ascii="仿宋" w:eastAsia="仿宋" w:hAnsi="仿宋" w:hint="eastAsia"/>
          <w:spacing w:val="0"/>
          <w:szCs w:val="28"/>
        </w:rPr>
        <w:t>）以及CLP考试介绍和演练辅导（CLP</w:t>
      </w:r>
      <w:r w:rsidRPr="0039794E">
        <w:rPr>
          <w:rFonts w:ascii="仿宋" w:eastAsia="仿宋" w:hAnsi="仿宋"/>
          <w:spacing w:val="0"/>
          <w:szCs w:val="28"/>
        </w:rPr>
        <w:t xml:space="preserve"> Exam Introduction </w:t>
      </w:r>
      <w:r w:rsidRPr="0039794E">
        <w:rPr>
          <w:rFonts w:ascii="仿宋" w:eastAsia="仿宋" w:hAnsi="仿宋" w:hint="eastAsia"/>
          <w:spacing w:val="0"/>
          <w:szCs w:val="28"/>
        </w:rPr>
        <w:t>and</w:t>
      </w:r>
      <w:r w:rsidRPr="0039794E">
        <w:rPr>
          <w:rFonts w:ascii="仿宋" w:eastAsia="仿宋" w:hAnsi="仿宋"/>
          <w:spacing w:val="0"/>
          <w:szCs w:val="28"/>
        </w:rPr>
        <w:t xml:space="preserve"> Test </w:t>
      </w:r>
      <w:r w:rsidRPr="0039794E">
        <w:rPr>
          <w:rFonts w:ascii="仿宋" w:eastAsia="仿宋" w:hAnsi="仿宋" w:hint="eastAsia"/>
          <w:spacing w:val="0"/>
          <w:szCs w:val="28"/>
        </w:rPr>
        <w:t>Practice）</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知识产权/技术许可协议的基础知识和交易原则</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知识产权/技术许可协议的常见种类</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知识产权/技术许可协议的主要组成部分及重要条款</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许可协议中的难点条款的详细分析与讲解</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许可协议起草和制定时需要考虑的要点</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已签署许可协议的管理方案和体系</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目前已签署协议中的权利、责任、时限并建立追踪和实施体系</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已签署许可协议的纠纷处理方案与解决方法</w:t>
      </w:r>
    </w:p>
    <w:p w:rsidR="009A1B9C" w:rsidRPr="0039794E" w:rsidRDefault="009A1B9C" w:rsidP="009A1B9C">
      <w:pPr>
        <w:pStyle w:val="a5"/>
        <w:numPr>
          <w:ilvl w:val="0"/>
          <w:numId w:val="1"/>
        </w:numPr>
        <w:spacing w:beforeLines="50" w:before="156" w:line="276" w:lineRule="auto"/>
        <w:ind w:left="993" w:hanging="284"/>
        <w:jc w:val="left"/>
        <w:rPr>
          <w:rFonts w:ascii="仿宋" w:eastAsia="仿宋" w:hAnsi="仿宋"/>
          <w:spacing w:val="0"/>
          <w:szCs w:val="28"/>
        </w:rPr>
      </w:pPr>
      <w:r w:rsidRPr="0039794E">
        <w:rPr>
          <w:rFonts w:ascii="仿宋" w:eastAsia="仿宋" w:hAnsi="仿宋" w:hint="eastAsia"/>
          <w:spacing w:val="0"/>
          <w:szCs w:val="28"/>
        </w:rPr>
        <w:t>C</w:t>
      </w:r>
      <w:r w:rsidRPr="0039794E">
        <w:rPr>
          <w:rFonts w:ascii="仿宋" w:eastAsia="仿宋" w:hAnsi="仿宋"/>
          <w:spacing w:val="0"/>
          <w:szCs w:val="28"/>
        </w:rPr>
        <w:t>LP</w:t>
      </w:r>
      <w:r w:rsidRPr="0039794E">
        <w:rPr>
          <w:rFonts w:ascii="仿宋" w:eastAsia="仿宋" w:hAnsi="仿宋" w:hint="eastAsia"/>
          <w:spacing w:val="0"/>
          <w:szCs w:val="28"/>
        </w:rPr>
        <w:t>考试的内容、形式、时间、报名要求、注意事项和演练</w:t>
      </w:r>
    </w:p>
    <w:p w:rsidR="00CA16AD" w:rsidRPr="009A1B9C" w:rsidRDefault="00D6687B" w:rsidP="009A1B9C">
      <w:pPr>
        <w:widowControl/>
        <w:jc w:val="left"/>
        <w:rPr>
          <w:rFonts w:ascii="仿宋" w:eastAsia="仿宋" w:hAnsi="仿宋" w:hint="eastAsia"/>
          <w:sz w:val="28"/>
          <w:szCs w:val="28"/>
        </w:rPr>
      </w:pPr>
      <w:bookmarkStart w:id="3" w:name="_GoBack"/>
      <w:bookmarkEnd w:id="3"/>
    </w:p>
    <w:sectPr w:rsidR="00CA16AD" w:rsidRPr="009A1B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7B" w:rsidRDefault="00D6687B" w:rsidP="009A1B9C">
      <w:r>
        <w:separator/>
      </w:r>
    </w:p>
  </w:endnote>
  <w:endnote w:type="continuationSeparator" w:id="0">
    <w:p w:rsidR="00D6687B" w:rsidRDefault="00D6687B" w:rsidP="009A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7B" w:rsidRDefault="00D6687B" w:rsidP="009A1B9C">
      <w:r>
        <w:separator/>
      </w:r>
    </w:p>
  </w:footnote>
  <w:footnote w:type="continuationSeparator" w:id="0">
    <w:p w:rsidR="00D6687B" w:rsidRDefault="00D6687B" w:rsidP="009A1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675FA5"/>
    <w:multiLevelType w:val="multilevel"/>
    <w:tmpl w:val="74675FA5"/>
    <w:lvl w:ilvl="0">
      <w:start w:val="1"/>
      <w:numFmt w:val="bullet"/>
      <w:lvlText w:val=""/>
      <w:lvlJc w:val="left"/>
      <w:pPr>
        <w:ind w:left="897" w:hanging="420"/>
      </w:pPr>
      <w:rPr>
        <w:rFonts w:ascii="Wingdings" w:hAnsi="Wingdings" w:hint="default"/>
      </w:rPr>
    </w:lvl>
    <w:lvl w:ilvl="1">
      <w:numFmt w:val="bullet"/>
      <w:lvlText w:val="-"/>
      <w:lvlJc w:val="left"/>
      <w:pPr>
        <w:ind w:left="1277" w:hanging="380"/>
      </w:pPr>
      <w:rPr>
        <w:rFonts w:ascii="Times New Roman" w:eastAsia="楷体" w:hAnsi="Times New Roman" w:cs="Times New Roman" w:hint="default"/>
      </w:rPr>
    </w:lvl>
    <w:lvl w:ilvl="2">
      <w:start w:val="1"/>
      <w:numFmt w:val="bullet"/>
      <w:lvlText w:val=""/>
      <w:lvlJc w:val="left"/>
      <w:pPr>
        <w:ind w:left="1737" w:hanging="420"/>
      </w:pPr>
      <w:rPr>
        <w:rFonts w:ascii="Wingdings" w:hAnsi="Wingdings" w:hint="default"/>
      </w:rPr>
    </w:lvl>
    <w:lvl w:ilvl="3">
      <w:start w:val="1"/>
      <w:numFmt w:val="bullet"/>
      <w:lvlText w:val=""/>
      <w:lvlJc w:val="left"/>
      <w:pPr>
        <w:ind w:left="2157" w:hanging="420"/>
      </w:pPr>
      <w:rPr>
        <w:rFonts w:ascii="Wingdings" w:hAnsi="Wingdings" w:hint="default"/>
      </w:rPr>
    </w:lvl>
    <w:lvl w:ilvl="4">
      <w:start w:val="1"/>
      <w:numFmt w:val="bullet"/>
      <w:lvlText w:val=""/>
      <w:lvlJc w:val="left"/>
      <w:pPr>
        <w:ind w:left="2577" w:hanging="420"/>
      </w:pPr>
      <w:rPr>
        <w:rFonts w:ascii="Wingdings" w:hAnsi="Wingdings" w:hint="default"/>
      </w:rPr>
    </w:lvl>
    <w:lvl w:ilvl="5">
      <w:start w:val="1"/>
      <w:numFmt w:val="bullet"/>
      <w:lvlText w:val=""/>
      <w:lvlJc w:val="left"/>
      <w:pPr>
        <w:ind w:left="2997" w:hanging="420"/>
      </w:pPr>
      <w:rPr>
        <w:rFonts w:ascii="Wingdings" w:hAnsi="Wingdings" w:hint="default"/>
      </w:rPr>
    </w:lvl>
    <w:lvl w:ilvl="6">
      <w:start w:val="1"/>
      <w:numFmt w:val="bullet"/>
      <w:lvlText w:val=""/>
      <w:lvlJc w:val="left"/>
      <w:pPr>
        <w:ind w:left="3417" w:hanging="420"/>
      </w:pPr>
      <w:rPr>
        <w:rFonts w:ascii="Wingdings" w:hAnsi="Wingdings" w:hint="default"/>
      </w:rPr>
    </w:lvl>
    <w:lvl w:ilvl="7">
      <w:start w:val="1"/>
      <w:numFmt w:val="bullet"/>
      <w:lvlText w:val=""/>
      <w:lvlJc w:val="left"/>
      <w:pPr>
        <w:ind w:left="3837" w:hanging="420"/>
      </w:pPr>
      <w:rPr>
        <w:rFonts w:ascii="Wingdings" w:hAnsi="Wingdings" w:hint="default"/>
      </w:rPr>
    </w:lvl>
    <w:lvl w:ilvl="8">
      <w:start w:val="1"/>
      <w:numFmt w:val="bullet"/>
      <w:lvlText w:val=""/>
      <w:lvlJc w:val="left"/>
      <w:pPr>
        <w:ind w:left="42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09"/>
    <w:rsid w:val="003570B5"/>
    <w:rsid w:val="00424EEA"/>
    <w:rsid w:val="009A1B9C"/>
    <w:rsid w:val="00D6687B"/>
    <w:rsid w:val="00E62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30B129-A0D2-44A0-9C02-D887F976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B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B9C"/>
    <w:rPr>
      <w:sz w:val="18"/>
      <w:szCs w:val="18"/>
    </w:rPr>
  </w:style>
  <w:style w:type="paragraph" w:styleId="a4">
    <w:name w:val="footer"/>
    <w:basedOn w:val="a"/>
    <w:link w:val="Char0"/>
    <w:uiPriority w:val="99"/>
    <w:unhideWhenUsed/>
    <w:rsid w:val="009A1B9C"/>
    <w:pPr>
      <w:tabs>
        <w:tab w:val="center" w:pos="4153"/>
        <w:tab w:val="right" w:pos="8306"/>
      </w:tabs>
      <w:snapToGrid w:val="0"/>
      <w:jc w:val="left"/>
    </w:pPr>
    <w:rPr>
      <w:sz w:val="18"/>
      <w:szCs w:val="18"/>
    </w:rPr>
  </w:style>
  <w:style w:type="character" w:customStyle="1" w:styleId="Char0">
    <w:name w:val="页脚 Char"/>
    <w:basedOn w:val="a0"/>
    <w:link w:val="a4"/>
    <w:uiPriority w:val="99"/>
    <w:rsid w:val="009A1B9C"/>
    <w:rPr>
      <w:sz w:val="18"/>
      <w:szCs w:val="18"/>
    </w:rPr>
  </w:style>
  <w:style w:type="paragraph" w:styleId="a5">
    <w:name w:val="Body Text Indent"/>
    <w:basedOn w:val="a"/>
    <w:link w:val="Char1"/>
    <w:qFormat/>
    <w:rsid w:val="009A1B9C"/>
    <w:pPr>
      <w:adjustRightInd w:val="0"/>
      <w:spacing w:line="360" w:lineRule="auto"/>
      <w:ind w:firstLine="600"/>
      <w:textAlignment w:val="baseline"/>
    </w:pPr>
    <w:rPr>
      <w:rFonts w:eastAsia="楷体_GB2312"/>
      <w:spacing w:val="6"/>
      <w:sz w:val="28"/>
      <w:szCs w:val="20"/>
    </w:rPr>
  </w:style>
  <w:style w:type="character" w:customStyle="1" w:styleId="Char1">
    <w:name w:val="正文文本缩进 Char"/>
    <w:basedOn w:val="a0"/>
    <w:link w:val="a5"/>
    <w:rsid w:val="009A1B9C"/>
    <w:rPr>
      <w:rFonts w:ascii="Times New Roman" w:eastAsia="楷体_GB2312" w:hAnsi="Times New Roman" w:cs="Times New Roman"/>
      <w:spacing w:val="6"/>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Words>
  <Characters>1757</Characters>
  <Application>Microsoft Office Word</Application>
  <DocSecurity>0</DocSecurity>
  <Lines>14</Lines>
  <Paragraphs>4</Paragraphs>
  <ScaleCrop>false</ScaleCrop>
  <Company>china</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范舒婷</dc:creator>
  <cp:keywords/>
  <dc:description/>
  <cp:lastModifiedBy>范舒婷</cp:lastModifiedBy>
  <cp:revision>2</cp:revision>
  <dcterms:created xsi:type="dcterms:W3CDTF">2018-05-17T08:45:00Z</dcterms:created>
  <dcterms:modified xsi:type="dcterms:W3CDTF">2018-05-17T08:45:00Z</dcterms:modified>
</cp:coreProperties>
</file>